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11007" w:type="dxa"/>
        <w:tblLook w:val="04A0"/>
      </w:tblPr>
      <w:tblGrid>
        <w:gridCol w:w="11007"/>
      </w:tblGrid>
      <w:tr w:rsidR="000330C2" w:rsidRPr="006778DE" w:rsidTr="000330C2">
        <w:trPr>
          <w:trHeight w:val="1418"/>
        </w:trPr>
        <w:tc>
          <w:tcPr>
            <w:tcW w:w="11007" w:type="dxa"/>
            <w:shd w:val="clear" w:color="auto" w:fill="auto"/>
            <w:noWrap/>
            <w:vAlign w:val="bottom"/>
            <w:hideMark/>
          </w:tcPr>
          <w:p w:rsidR="000330C2" w:rsidRDefault="000330C2" w:rsidP="00C01E4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1625" cy="390525"/>
                  <wp:effectExtent l="19050" t="0" r="9525" b="0"/>
                  <wp:docPr id="1" name="Рисунок 1" descr="G:\ПВХ ФАСАДЫ\Реклама\d81fd4_22519a12fbc74fb49d57addee01d1842_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ВХ ФАСАДЫ\Реклама\d81fd4_22519a12fbc74fb49d57addee01d1842_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0C2" w:rsidRPr="006778DE" w:rsidRDefault="000330C2" w:rsidP="00C01E48">
            <w:pPr>
              <w:spacing w:after="0" w:line="240" w:lineRule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</w:tbl>
    <w:p w:rsidR="003C6825" w:rsidRPr="000330C2" w:rsidRDefault="00642E92" w:rsidP="000330C2">
      <w:pPr>
        <w:spacing w:before="100" w:beforeAutospacing="1" w:after="100" w:afterAutospacing="1" w:line="240" w:lineRule="auto"/>
        <w:rPr>
          <w:rFonts w:eastAsia="Times New Roman" w:cs="Times New Roman"/>
          <w:b/>
          <w:sz w:val="18"/>
          <w:szCs w:val="18"/>
        </w:rPr>
      </w:pPr>
      <w:r w:rsidRPr="000330C2">
        <w:rPr>
          <w:rFonts w:eastAsia="Times New Roman" w:cs="Times New Roman"/>
          <w:b/>
          <w:sz w:val="18"/>
          <w:szCs w:val="18"/>
        </w:rPr>
        <w:t>Правила эксплуатации</w:t>
      </w:r>
      <w:r w:rsidR="00145EDA" w:rsidRPr="000330C2">
        <w:rPr>
          <w:rFonts w:eastAsia="Times New Roman" w:cs="Times New Roman"/>
          <w:b/>
          <w:sz w:val="18"/>
          <w:szCs w:val="18"/>
        </w:rPr>
        <w:t xml:space="preserve"> и технические условия</w:t>
      </w:r>
      <w:r w:rsidRPr="000330C2">
        <w:rPr>
          <w:rFonts w:eastAsia="Times New Roman" w:cs="Times New Roman"/>
          <w:b/>
          <w:sz w:val="18"/>
          <w:szCs w:val="18"/>
        </w:rPr>
        <w:t xml:space="preserve"> фасадов МДФ </w:t>
      </w:r>
      <w:r w:rsidR="003D0242" w:rsidRPr="000330C2">
        <w:rPr>
          <w:rFonts w:eastAsia="Times New Roman" w:cs="Times New Roman"/>
          <w:b/>
          <w:sz w:val="18"/>
          <w:szCs w:val="18"/>
        </w:rPr>
        <w:t>под</w:t>
      </w:r>
      <w:r w:rsidRPr="000330C2">
        <w:rPr>
          <w:rFonts w:eastAsia="Times New Roman" w:cs="Times New Roman"/>
          <w:b/>
          <w:sz w:val="18"/>
          <w:szCs w:val="18"/>
        </w:rPr>
        <w:t xml:space="preserve"> эмаль</w:t>
      </w:r>
      <w:r w:rsidR="003D0242" w:rsidRPr="000330C2">
        <w:rPr>
          <w:rFonts w:eastAsia="Times New Roman" w:cs="Times New Roman"/>
          <w:b/>
          <w:sz w:val="18"/>
          <w:szCs w:val="18"/>
        </w:rPr>
        <w:t>ю</w:t>
      </w:r>
    </w:p>
    <w:p w:rsidR="003C6825" w:rsidRPr="000330C2" w:rsidRDefault="003C6825" w:rsidP="0003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30C2">
        <w:rPr>
          <w:rFonts w:ascii="Times New Roman" w:eastAsia="Times New Roman" w:hAnsi="Times New Roman" w:cs="Times New Roman"/>
          <w:sz w:val="20"/>
          <w:szCs w:val="20"/>
        </w:rPr>
        <w:t>Нормы допусков по качеству покрытия для фасадов из МДФ с отделкой эмалями</w:t>
      </w:r>
      <w:r w:rsidR="00670A40" w:rsidRPr="000330C2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tbl>
      <w:tblPr>
        <w:tblStyle w:val="ad"/>
        <w:tblW w:w="0" w:type="auto"/>
        <w:tblInd w:w="108" w:type="dxa"/>
        <w:tblLook w:val="04A0"/>
      </w:tblPr>
      <w:tblGrid>
        <w:gridCol w:w="2676"/>
        <w:gridCol w:w="2252"/>
        <w:gridCol w:w="2268"/>
        <w:gridCol w:w="2727"/>
      </w:tblGrid>
      <w:tr w:rsidR="003C6825" w:rsidRPr="00FD4BFB" w:rsidTr="000330C2">
        <w:tc>
          <w:tcPr>
            <w:tcW w:w="2676" w:type="dxa"/>
            <w:vMerge w:val="restart"/>
          </w:tcPr>
          <w:p w:rsidR="003C6825" w:rsidRPr="00FD4BFB" w:rsidRDefault="003C6825" w:rsidP="003C68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Параметры</w:t>
            </w:r>
          </w:p>
        </w:tc>
        <w:tc>
          <w:tcPr>
            <w:tcW w:w="7247" w:type="dxa"/>
            <w:gridSpan w:val="3"/>
          </w:tcPr>
          <w:p w:rsidR="003C6825" w:rsidRPr="00FD4BFB" w:rsidRDefault="003C6825" w:rsidP="003C68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покрытия</w:t>
            </w:r>
          </w:p>
        </w:tc>
      </w:tr>
      <w:tr w:rsidR="003C6825" w:rsidRPr="00FD4BFB" w:rsidTr="000330C2">
        <w:tc>
          <w:tcPr>
            <w:tcW w:w="2676" w:type="dxa"/>
            <w:vMerge/>
          </w:tcPr>
          <w:p w:rsidR="003C6825" w:rsidRPr="00FD4BFB" w:rsidRDefault="003C6825" w:rsidP="003D0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</w:tcPr>
          <w:p w:rsidR="003C6825" w:rsidRPr="00FD4BFB" w:rsidRDefault="003C6825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Матовое</w:t>
            </w:r>
          </w:p>
        </w:tc>
        <w:tc>
          <w:tcPr>
            <w:tcW w:w="2268" w:type="dxa"/>
          </w:tcPr>
          <w:p w:rsidR="003C6825" w:rsidRPr="00FD4BFB" w:rsidRDefault="003C6825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Глянцевое</w:t>
            </w:r>
          </w:p>
        </w:tc>
        <w:tc>
          <w:tcPr>
            <w:tcW w:w="2727" w:type="dxa"/>
          </w:tcPr>
          <w:p w:rsidR="003C6825" w:rsidRPr="00FD4BFB" w:rsidRDefault="003C6825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Металлик</w:t>
            </w:r>
            <w:proofErr w:type="spellEnd"/>
          </w:p>
        </w:tc>
      </w:tr>
      <w:tr w:rsidR="003C6825" w:rsidRPr="00FD4BFB" w:rsidTr="000330C2">
        <w:tc>
          <w:tcPr>
            <w:tcW w:w="2676" w:type="dxa"/>
          </w:tcPr>
          <w:p w:rsidR="003C6825" w:rsidRPr="00FD4BFB" w:rsidRDefault="003C6825" w:rsidP="003D0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Соответствие с каталогом </w:t>
            </w:r>
            <w:r w:rsidR="00CF5528" w:rsidRPr="00FD4BF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RAL</w:t>
            </w:r>
          </w:p>
        </w:tc>
        <w:tc>
          <w:tcPr>
            <w:tcW w:w="2252" w:type="dxa"/>
          </w:tcPr>
          <w:p w:rsidR="003C6825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90-100%</w:t>
            </w:r>
          </w:p>
        </w:tc>
        <w:tc>
          <w:tcPr>
            <w:tcW w:w="2268" w:type="dxa"/>
          </w:tcPr>
          <w:p w:rsidR="003C6825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90-100%</w:t>
            </w:r>
          </w:p>
        </w:tc>
        <w:tc>
          <w:tcPr>
            <w:tcW w:w="2727" w:type="dxa"/>
          </w:tcPr>
          <w:p w:rsidR="003C6825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85-100%</w:t>
            </w:r>
          </w:p>
        </w:tc>
      </w:tr>
      <w:tr w:rsidR="00CF5528" w:rsidRPr="00FD4BFB" w:rsidTr="000330C2">
        <w:tc>
          <w:tcPr>
            <w:tcW w:w="2676" w:type="dxa"/>
          </w:tcPr>
          <w:p w:rsidR="00CF5528" w:rsidRPr="00FD4BFB" w:rsidRDefault="00CF5528" w:rsidP="003D0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Пылинки</w:t>
            </w:r>
          </w:p>
        </w:tc>
        <w:tc>
          <w:tcPr>
            <w:tcW w:w="7247" w:type="dxa"/>
            <w:gridSpan w:val="3"/>
          </w:tcPr>
          <w:p w:rsidR="00CF5528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Не более 3-х на 0,3 м</w:t>
            </w: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</w:tr>
      <w:tr w:rsidR="00CF5528" w:rsidRPr="00FD4BFB" w:rsidTr="000330C2">
        <w:tc>
          <w:tcPr>
            <w:tcW w:w="2676" w:type="dxa"/>
          </w:tcPr>
          <w:p w:rsidR="00CF5528" w:rsidRPr="00FD4BFB" w:rsidRDefault="00CF5528" w:rsidP="003D0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Шагрень</w:t>
            </w:r>
          </w:p>
        </w:tc>
        <w:tc>
          <w:tcPr>
            <w:tcW w:w="2252" w:type="dxa"/>
          </w:tcPr>
          <w:p w:rsidR="00CF5528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Не допускается</w:t>
            </w:r>
          </w:p>
        </w:tc>
        <w:tc>
          <w:tcPr>
            <w:tcW w:w="4995" w:type="dxa"/>
            <w:gridSpan w:val="2"/>
          </w:tcPr>
          <w:p w:rsidR="00CF5528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Допускается едва заметная</w:t>
            </w:r>
          </w:p>
        </w:tc>
      </w:tr>
      <w:tr w:rsidR="00CF5528" w:rsidRPr="00FD4BFB" w:rsidTr="000330C2">
        <w:tc>
          <w:tcPr>
            <w:tcW w:w="2676" w:type="dxa"/>
          </w:tcPr>
          <w:p w:rsidR="00CF5528" w:rsidRPr="00FD4BFB" w:rsidRDefault="00CF5528" w:rsidP="003D0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Неравномерность распределения спецэффекта</w:t>
            </w:r>
          </w:p>
        </w:tc>
        <w:tc>
          <w:tcPr>
            <w:tcW w:w="4520" w:type="dxa"/>
            <w:gridSpan w:val="2"/>
          </w:tcPr>
          <w:p w:rsidR="00CF5528" w:rsidRPr="00FD4BFB" w:rsidRDefault="008F0CB3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------------------</w:t>
            </w:r>
          </w:p>
        </w:tc>
        <w:tc>
          <w:tcPr>
            <w:tcW w:w="2727" w:type="dxa"/>
          </w:tcPr>
          <w:p w:rsidR="00CF5528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Нет</w:t>
            </w:r>
          </w:p>
        </w:tc>
      </w:tr>
      <w:tr w:rsidR="000B4F6A" w:rsidRPr="00FD4BFB" w:rsidTr="000330C2">
        <w:tc>
          <w:tcPr>
            <w:tcW w:w="2676" w:type="dxa"/>
          </w:tcPr>
          <w:p w:rsidR="000B4F6A" w:rsidRPr="00FD4BFB" w:rsidRDefault="000B4F6A" w:rsidP="003D0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Кратеры, пузырьки, проколы</w:t>
            </w:r>
          </w:p>
        </w:tc>
        <w:tc>
          <w:tcPr>
            <w:tcW w:w="7247" w:type="dxa"/>
            <w:gridSpan w:val="3"/>
          </w:tcPr>
          <w:p w:rsidR="000B4F6A" w:rsidRPr="00FD4BFB" w:rsidRDefault="000B4F6A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Не более 2-х на 0,5м</w:t>
            </w: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; допускаются на торцах</w:t>
            </w:r>
          </w:p>
        </w:tc>
      </w:tr>
      <w:tr w:rsidR="00CF5528" w:rsidRPr="00FD4BFB" w:rsidTr="000330C2">
        <w:tc>
          <w:tcPr>
            <w:tcW w:w="2676" w:type="dxa"/>
          </w:tcPr>
          <w:p w:rsidR="00CF5528" w:rsidRPr="00FD4BFB" w:rsidRDefault="00CF5528" w:rsidP="003D02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Риски</w:t>
            </w:r>
          </w:p>
        </w:tc>
        <w:tc>
          <w:tcPr>
            <w:tcW w:w="7247" w:type="dxa"/>
            <w:gridSpan w:val="3"/>
          </w:tcPr>
          <w:p w:rsidR="00CF5528" w:rsidRPr="00FD4BFB" w:rsidRDefault="00CF5528" w:rsidP="00CF5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D4BFB">
              <w:rPr>
                <w:rFonts w:ascii="Times New Roman" w:eastAsia="Times New Roman" w:hAnsi="Times New Roman" w:cs="Times New Roman"/>
                <w:sz w:val="20"/>
                <w:szCs w:val="24"/>
              </w:rPr>
              <w:t>Допускаются едва заметные</w:t>
            </w:r>
          </w:p>
        </w:tc>
      </w:tr>
    </w:tbl>
    <w:p w:rsidR="00642E92" w:rsidRPr="00FD4BFB" w:rsidRDefault="00642E92" w:rsidP="003D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D4BFB">
        <w:rPr>
          <w:rFonts w:ascii="Times New Roman" w:eastAsia="Times New Roman" w:hAnsi="Times New Roman" w:cs="Times New Roman"/>
          <w:sz w:val="20"/>
          <w:szCs w:val="24"/>
        </w:rPr>
        <w:t>Фасады МДФ,</w:t>
      </w:r>
      <w:r w:rsidR="0078062D" w:rsidRPr="00FD4BF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D4BFB">
        <w:rPr>
          <w:rFonts w:ascii="Times New Roman" w:eastAsia="Times New Roman" w:hAnsi="Times New Roman" w:cs="Times New Roman"/>
          <w:sz w:val="20"/>
          <w:szCs w:val="24"/>
        </w:rPr>
        <w:t xml:space="preserve">покрытые эмалью, предназначены для установки на жилую корпусную мебель. Изделия экологически чистые, имеют высокую износостойкость, устойчивость к выцветанию, растрескиванию и истиранию. Тем не менее, для продления срока службы эмалевых фасадов необходимо соблюдать </w:t>
      </w:r>
      <w:r w:rsidRPr="00FD4BFB">
        <w:rPr>
          <w:rFonts w:ascii="Times New Roman" w:eastAsia="Times New Roman" w:hAnsi="Times New Roman" w:cs="Times New Roman"/>
          <w:b/>
          <w:sz w:val="20"/>
          <w:szCs w:val="24"/>
        </w:rPr>
        <w:t>правила их эксплуатации</w:t>
      </w:r>
      <w:r w:rsidRPr="00FD4BFB">
        <w:rPr>
          <w:rFonts w:ascii="Times New Roman" w:eastAsia="Times New Roman" w:hAnsi="Times New Roman" w:cs="Times New Roman"/>
          <w:sz w:val="20"/>
          <w:szCs w:val="24"/>
        </w:rPr>
        <w:t>: </w:t>
      </w:r>
    </w:p>
    <w:p w:rsidR="00670A40" w:rsidRPr="00FD4BFB" w:rsidRDefault="00642E92" w:rsidP="00FD4B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FD4BFB">
        <w:rPr>
          <w:rFonts w:ascii="Times New Roman" w:eastAsia="Times New Roman" w:hAnsi="Times New Roman" w:cs="Times New Roman"/>
          <w:sz w:val="20"/>
          <w:szCs w:val="24"/>
        </w:rPr>
        <w:t>• Максимально допустимая температура фронтального воздействия на изделие не должна превышать 120 градусов (длительное воздействие температур – не более 70°С). При несоблюдении этого правила существует вероятность выцветания и растрескивания эмали.</w:t>
      </w:r>
      <w:r w:rsidRPr="00FD4BFB">
        <w:rPr>
          <w:rFonts w:ascii="Times New Roman" w:eastAsia="Times New Roman" w:hAnsi="Times New Roman" w:cs="Times New Roman"/>
          <w:sz w:val="20"/>
          <w:szCs w:val="24"/>
        </w:rPr>
        <w:br/>
        <w:t>• Не допускается применение веществ для мытья, содержащих абразивные частицы (порошки), растворители, ацетоны, кислоты, щелочные жидкости, кроме специально предусмотренных для мытья и полировки мебели.</w:t>
      </w:r>
    </w:p>
    <w:p w:rsidR="00642E92" w:rsidRPr="00FD4BFB" w:rsidRDefault="00642E92" w:rsidP="00FD4B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FD4BFB">
        <w:rPr>
          <w:rFonts w:ascii="Times New Roman" w:eastAsia="Times New Roman" w:hAnsi="Times New Roman" w:cs="Times New Roman"/>
          <w:sz w:val="20"/>
          <w:szCs w:val="24"/>
        </w:rPr>
        <w:t>• Во избежание локального изменения цвета эмали установка подсветок (софитов и т.д.) производится на расстоянии не менее 150 мм от изделия.</w:t>
      </w:r>
    </w:p>
    <w:p w:rsid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EA" w:rsidRP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9A7AEA">
        <w:rPr>
          <w:rFonts w:ascii="Times New Roman" w:hAnsi="Times New Roman" w:cs="Times New Roman"/>
          <w:b/>
          <w:sz w:val="20"/>
        </w:rPr>
        <w:t xml:space="preserve">На окрашенной стороне изделия допускаются: </w:t>
      </w:r>
    </w:p>
    <w:p w:rsidR="009A7AEA" w:rsidRP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A7AEA">
        <w:rPr>
          <w:rFonts w:ascii="Times New Roman" w:hAnsi="Times New Roman" w:cs="Times New Roman"/>
          <w:sz w:val="20"/>
        </w:rPr>
        <w:t xml:space="preserve">- мелкие царапины (не более 50 мм), не видимые при фронтальном осмотре с расстояния 0,5 м в течении 30 секунд; </w:t>
      </w:r>
    </w:p>
    <w:p w:rsidR="009A7AEA" w:rsidRP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A7AEA">
        <w:rPr>
          <w:rFonts w:ascii="Times New Roman" w:hAnsi="Times New Roman" w:cs="Times New Roman"/>
          <w:sz w:val="20"/>
        </w:rPr>
        <w:t xml:space="preserve">- вкрапления радиусом до 0,5 мм, но не более 3 шт. на одно изделие; </w:t>
      </w:r>
    </w:p>
    <w:p w:rsidR="009A7AEA" w:rsidRP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A7AEA">
        <w:rPr>
          <w:rFonts w:ascii="Times New Roman" w:hAnsi="Times New Roman" w:cs="Times New Roman"/>
          <w:sz w:val="20"/>
        </w:rPr>
        <w:t>- незначительные неровности поверхностей (эффект апельсиновой корки), не видимые при фронтальном осмотре с расстояния 0,5 м в течении 30 секунд;</w:t>
      </w:r>
    </w:p>
    <w:p w:rsidR="009A7AEA" w:rsidRP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A7AEA">
        <w:rPr>
          <w:rFonts w:ascii="Times New Roman" w:hAnsi="Times New Roman" w:cs="Times New Roman"/>
          <w:sz w:val="20"/>
        </w:rPr>
        <w:t xml:space="preserve">- при двухсторонней окраске на тыльной стороне изделия допускаются мелкие царапины, вкрапления, не нарушающие целостного восприятия покрытия; </w:t>
      </w:r>
    </w:p>
    <w:p w:rsid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A7AEA">
        <w:rPr>
          <w:rFonts w:ascii="Times New Roman" w:hAnsi="Times New Roman" w:cs="Times New Roman"/>
          <w:sz w:val="20"/>
        </w:rPr>
        <w:t xml:space="preserve">- краски для каждого заказа изготавливаются по картам RAL. Соответствие цвета изделия к цвету палитры - 95% . </w:t>
      </w:r>
    </w:p>
    <w:p w:rsidR="009A7AEA" w:rsidRP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Pr="009A7AEA">
        <w:rPr>
          <w:rFonts w:ascii="Times New Roman" w:hAnsi="Times New Roman" w:cs="Times New Roman"/>
          <w:sz w:val="20"/>
        </w:rPr>
        <w:t xml:space="preserve">В случае </w:t>
      </w:r>
      <w:proofErr w:type="spellStart"/>
      <w:r w:rsidRPr="009A7AEA">
        <w:rPr>
          <w:rFonts w:ascii="Times New Roman" w:hAnsi="Times New Roman" w:cs="Times New Roman"/>
          <w:sz w:val="20"/>
        </w:rPr>
        <w:t>дозаказа</w:t>
      </w:r>
      <w:proofErr w:type="spellEnd"/>
      <w:r w:rsidRPr="009A7AEA">
        <w:rPr>
          <w:rFonts w:ascii="Times New Roman" w:hAnsi="Times New Roman" w:cs="Times New Roman"/>
          <w:sz w:val="20"/>
        </w:rPr>
        <w:t xml:space="preserve"> изделий возможны отклонения в оттенке цвета. </w:t>
      </w:r>
    </w:p>
    <w:p w:rsid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7AEA">
        <w:rPr>
          <w:rFonts w:ascii="Times New Roman" w:hAnsi="Times New Roman" w:cs="Times New Roman"/>
          <w:b/>
          <w:sz w:val="20"/>
          <w:szCs w:val="20"/>
        </w:rPr>
        <w:t>На внутренней стороне изделия при односторонней окраске допускаются:</w:t>
      </w:r>
      <w:r w:rsidRPr="009A7A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7AEA">
        <w:rPr>
          <w:rFonts w:ascii="Times New Roman" w:hAnsi="Times New Roman" w:cs="Times New Roman"/>
          <w:sz w:val="20"/>
          <w:szCs w:val="20"/>
        </w:rPr>
        <w:t xml:space="preserve">- сколы </w:t>
      </w:r>
      <w:proofErr w:type="spellStart"/>
      <w:r w:rsidRPr="009A7AEA">
        <w:rPr>
          <w:rFonts w:ascii="Times New Roman" w:hAnsi="Times New Roman" w:cs="Times New Roman"/>
          <w:sz w:val="20"/>
          <w:szCs w:val="20"/>
        </w:rPr>
        <w:t>ламината</w:t>
      </w:r>
      <w:proofErr w:type="spellEnd"/>
      <w:r w:rsidRPr="009A7AEA">
        <w:rPr>
          <w:rFonts w:ascii="Times New Roman" w:hAnsi="Times New Roman" w:cs="Times New Roman"/>
          <w:sz w:val="20"/>
          <w:szCs w:val="20"/>
        </w:rPr>
        <w:t xml:space="preserve"> радиусом до 1,5 мм, но не более 2 шт. на одно изделие; </w:t>
      </w:r>
    </w:p>
    <w:p w:rsidR="009A7AEA" w:rsidRP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7AEA">
        <w:rPr>
          <w:rFonts w:ascii="Times New Roman" w:hAnsi="Times New Roman" w:cs="Times New Roman"/>
          <w:sz w:val="20"/>
          <w:szCs w:val="20"/>
        </w:rPr>
        <w:t xml:space="preserve">- мелкие царапины </w:t>
      </w:r>
      <w:proofErr w:type="spellStart"/>
      <w:r w:rsidRPr="009A7AEA">
        <w:rPr>
          <w:rFonts w:ascii="Times New Roman" w:hAnsi="Times New Roman" w:cs="Times New Roman"/>
          <w:sz w:val="20"/>
          <w:szCs w:val="20"/>
        </w:rPr>
        <w:t>ламината</w:t>
      </w:r>
      <w:proofErr w:type="spellEnd"/>
      <w:r w:rsidRPr="009A7AEA">
        <w:rPr>
          <w:rFonts w:ascii="Times New Roman" w:hAnsi="Times New Roman" w:cs="Times New Roman"/>
          <w:sz w:val="20"/>
          <w:szCs w:val="20"/>
        </w:rPr>
        <w:t xml:space="preserve">, не видимые при фронтальном осмотре с расстояния 0,5 м в течении 30 секунд. </w:t>
      </w:r>
    </w:p>
    <w:p w:rsid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AEA" w:rsidRDefault="009A7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7AEA">
        <w:rPr>
          <w:rFonts w:ascii="Times New Roman" w:hAnsi="Times New Roman" w:cs="Times New Roman"/>
          <w:b/>
          <w:sz w:val="20"/>
          <w:szCs w:val="20"/>
        </w:rPr>
        <w:t>Допустимые отклонения от габаритов:</w:t>
      </w:r>
      <w:r w:rsidRPr="009A7A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AEA" w:rsidRDefault="00986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7AEA" w:rsidRPr="009A7AEA">
        <w:rPr>
          <w:rFonts w:ascii="Times New Roman" w:hAnsi="Times New Roman" w:cs="Times New Roman"/>
          <w:sz w:val="20"/>
          <w:szCs w:val="20"/>
        </w:rPr>
        <w:t>габаритные размеры (длинна, ширина) - плюс/минус 1 мм;</w:t>
      </w:r>
    </w:p>
    <w:p w:rsidR="009A7AEA" w:rsidRDefault="00986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7AEA" w:rsidRPr="009A7AEA">
        <w:rPr>
          <w:rFonts w:ascii="Times New Roman" w:hAnsi="Times New Roman" w:cs="Times New Roman"/>
          <w:sz w:val="20"/>
          <w:szCs w:val="20"/>
        </w:rPr>
        <w:t>допустимое коробление (прогиб деталей): до 2 мм для деталей не менее 600 мм;</w:t>
      </w:r>
    </w:p>
    <w:p w:rsidR="009A7AEA" w:rsidRDefault="00986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7AEA" w:rsidRPr="009A7AEA">
        <w:rPr>
          <w:rFonts w:ascii="Times New Roman" w:hAnsi="Times New Roman" w:cs="Times New Roman"/>
          <w:sz w:val="20"/>
          <w:szCs w:val="20"/>
        </w:rPr>
        <w:t xml:space="preserve">до 4 мм для деталей длинной 600-1300 мм; </w:t>
      </w:r>
    </w:p>
    <w:p w:rsidR="009A7AEA" w:rsidRPr="009A7AEA" w:rsidRDefault="00986AEA" w:rsidP="003D02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7AEA" w:rsidRPr="009A7AEA">
        <w:rPr>
          <w:rFonts w:ascii="Times New Roman" w:hAnsi="Times New Roman" w:cs="Times New Roman"/>
          <w:sz w:val="20"/>
          <w:szCs w:val="20"/>
        </w:rPr>
        <w:t>до 10 мм для деталей длинной свыше 1300 мм.</w:t>
      </w:r>
    </w:p>
    <w:p w:rsidR="00FD4BFB" w:rsidRDefault="00FD4BFB" w:rsidP="003D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D4BFB" w:rsidRPr="00FD4BFB" w:rsidRDefault="00291C68" w:rsidP="003D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D4BFB">
        <w:rPr>
          <w:rFonts w:ascii="Times New Roman" w:eastAsia="Times New Roman" w:hAnsi="Times New Roman" w:cs="Times New Roman"/>
          <w:sz w:val="20"/>
          <w:szCs w:val="24"/>
        </w:rPr>
        <w:t>Обращаем</w:t>
      </w:r>
      <w:r w:rsidR="0078062D" w:rsidRPr="00FD4BFB">
        <w:rPr>
          <w:rFonts w:ascii="Times New Roman" w:eastAsia="Times New Roman" w:hAnsi="Times New Roman" w:cs="Times New Roman"/>
          <w:sz w:val="20"/>
          <w:szCs w:val="24"/>
        </w:rPr>
        <w:t xml:space="preserve"> внимание на </w:t>
      </w:r>
      <w:r w:rsidR="00642E92" w:rsidRPr="00FD4BFB">
        <w:rPr>
          <w:rFonts w:ascii="Times New Roman" w:eastAsia="Times New Roman" w:hAnsi="Times New Roman" w:cs="Times New Roman"/>
          <w:sz w:val="20"/>
          <w:szCs w:val="24"/>
        </w:rPr>
        <w:t xml:space="preserve">то, что на эмалевых фасадах часто остаются следы пятен от рук, </w:t>
      </w:r>
      <w:r w:rsidR="0078062D" w:rsidRPr="00FD4BFB">
        <w:rPr>
          <w:rFonts w:ascii="Times New Roman" w:eastAsia="Times New Roman" w:hAnsi="Times New Roman" w:cs="Times New Roman"/>
          <w:sz w:val="20"/>
          <w:szCs w:val="24"/>
        </w:rPr>
        <w:t xml:space="preserve">а </w:t>
      </w:r>
      <w:r w:rsidR="00642E92" w:rsidRPr="00FD4BFB">
        <w:rPr>
          <w:rFonts w:ascii="Times New Roman" w:eastAsia="Times New Roman" w:hAnsi="Times New Roman" w:cs="Times New Roman"/>
          <w:sz w:val="20"/>
          <w:szCs w:val="24"/>
        </w:rPr>
        <w:t xml:space="preserve">также фасады с эмалью легко поцарапать. </w:t>
      </w:r>
      <w:r w:rsidR="003D0242" w:rsidRPr="00FD4BFB">
        <w:rPr>
          <w:rFonts w:ascii="Times New Roman" w:eastAsia="Times New Roman" w:hAnsi="Times New Roman" w:cs="Times New Roman"/>
          <w:sz w:val="20"/>
          <w:szCs w:val="24"/>
        </w:rPr>
        <w:t xml:space="preserve">Поэтому </w:t>
      </w:r>
      <w:r w:rsidR="00642E92" w:rsidRPr="00FD4BFB">
        <w:rPr>
          <w:rFonts w:ascii="Times New Roman" w:eastAsia="Times New Roman" w:hAnsi="Times New Roman" w:cs="Times New Roman"/>
          <w:sz w:val="20"/>
          <w:szCs w:val="24"/>
        </w:rPr>
        <w:t xml:space="preserve">при уходе за данными фасадами следует </w:t>
      </w:r>
      <w:r w:rsidR="00642E92" w:rsidRPr="00FD4BFB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соблюдать </w:t>
      </w:r>
      <w:r w:rsidR="003D0242" w:rsidRPr="00FD4BFB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следующее</w:t>
      </w:r>
      <w:r w:rsidR="00FD4BFB" w:rsidRPr="00FD4BFB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:</w:t>
      </w:r>
    </w:p>
    <w:p w:rsidR="00233A02" w:rsidRPr="00FD4BFB" w:rsidRDefault="00642E92" w:rsidP="0037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D4BFB">
        <w:rPr>
          <w:rFonts w:ascii="Times New Roman" w:eastAsia="Times New Roman" w:hAnsi="Times New Roman" w:cs="Times New Roman"/>
          <w:sz w:val="20"/>
          <w:szCs w:val="24"/>
        </w:rPr>
        <w:t>Справиться с пятнами от рук</w:t>
      </w:r>
      <w:r w:rsidR="006E07F4" w:rsidRPr="00FD4BFB">
        <w:rPr>
          <w:rFonts w:ascii="Times New Roman" w:eastAsia="Times New Roman" w:hAnsi="Times New Roman" w:cs="Times New Roman"/>
          <w:sz w:val="20"/>
          <w:szCs w:val="24"/>
        </w:rPr>
        <w:t>, а также с разводами от воды</w:t>
      </w:r>
      <w:r w:rsidR="003D0242" w:rsidRPr="00FD4BF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D4BFB">
        <w:rPr>
          <w:rFonts w:ascii="Times New Roman" w:eastAsia="Times New Roman" w:hAnsi="Times New Roman" w:cs="Times New Roman"/>
          <w:sz w:val="20"/>
          <w:szCs w:val="24"/>
        </w:rPr>
        <w:t xml:space="preserve">поможет обычная тряпочка из </w:t>
      </w:r>
      <w:proofErr w:type="spellStart"/>
      <w:r w:rsidRPr="00FD4BFB">
        <w:rPr>
          <w:rFonts w:ascii="Times New Roman" w:eastAsia="Times New Roman" w:hAnsi="Times New Roman" w:cs="Times New Roman"/>
          <w:sz w:val="20"/>
          <w:szCs w:val="24"/>
        </w:rPr>
        <w:t>микрофибры</w:t>
      </w:r>
      <w:proofErr w:type="spellEnd"/>
      <w:r w:rsidRPr="00FD4BFB">
        <w:rPr>
          <w:rFonts w:ascii="Times New Roman" w:eastAsia="Times New Roman" w:hAnsi="Times New Roman" w:cs="Times New Roman"/>
          <w:sz w:val="20"/>
          <w:szCs w:val="24"/>
        </w:rPr>
        <w:t>, которая без следов удалит загрязнения. Чтобы пятен было меньше, старайтесь открывать только за ручки.</w:t>
      </w:r>
      <w:r w:rsidR="00233A02" w:rsidRPr="00FD4BF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D4BFB">
        <w:rPr>
          <w:rFonts w:ascii="Times New Roman" w:eastAsia="Times New Roman" w:hAnsi="Times New Roman" w:cs="Times New Roman"/>
          <w:sz w:val="20"/>
          <w:szCs w:val="24"/>
        </w:rPr>
        <w:t>При удалении пятен и грязи с эмалевых фасадов также можно воспользоваться теплым слабым мыльным раствором. Возможно использование любых растворов серийно выпускаемых чистящих средств</w:t>
      </w:r>
      <w:r w:rsidR="003D0242" w:rsidRPr="00FD4BF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D4BFB">
        <w:rPr>
          <w:rFonts w:ascii="Times New Roman" w:eastAsia="Times New Roman" w:hAnsi="Times New Roman" w:cs="Times New Roman"/>
          <w:sz w:val="20"/>
          <w:szCs w:val="24"/>
        </w:rPr>
        <w:t xml:space="preserve"> для мебели с лакированным покрытием. После операции очистки поверхность должна быть промыта чистой водой и высушена.</w:t>
      </w:r>
    </w:p>
    <w:p w:rsidR="009B3FA6" w:rsidRPr="00FD4BFB" w:rsidRDefault="00A70195" w:rsidP="00F14E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Гарантийный эксплуатационный период фасадов составляет </w:t>
      </w:r>
      <w:r w:rsidR="00CB0A9A"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>1</w:t>
      </w:r>
      <w:r w:rsidR="00DB1E89"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>год</w:t>
      </w:r>
      <w:r w:rsidR="00CB0A9A"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со дня получения их заказчиком </w:t>
      </w:r>
      <w:r w:rsidR="001064D8"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>при соблюдении</w:t>
      </w:r>
      <w:r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1064D8"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FD4BFB">
        <w:rPr>
          <w:rFonts w:ascii="Times New Roman" w:eastAsia="Times New Roman" w:hAnsi="Times New Roman" w:cs="Times New Roman"/>
          <w:color w:val="000000"/>
          <w:sz w:val="20"/>
          <w:szCs w:val="24"/>
        </w:rPr>
        <w:t>правил эксплуатации.</w:t>
      </w:r>
    </w:p>
    <w:sectPr w:rsidR="009B3FA6" w:rsidRPr="00FD4BFB" w:rsidSect="00FD4BFB">
      <w:pgSz w:w="11906" w:h="16838"/>
      <w:pgMar w:top="567" w:right="850" w:bottom="709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AD" w:rsidRDefault="001933AD" w:rsidP="003A268F">
      <w:pPr>
        <w:spacing w:after="0" w:line="240" w:lineRule="auto"/>
      </w:pPr>
      <w:r>
        <w:separator/>
      </w:r>
    </w:p>
  </w:endnote>
  <w:endnote w:type="continuationSeparator" w:id="0">
    <w:p w:rsidR="001933AD" w:rsidRDefault="001933AD" w:rsidP="003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AD" w:rsidRDefault="001933AD" w:rsidP="003A268F">
      <w:pPr>
        <w:spacing w:after="0" w:line="240" w:lineRule="auto"/>
      </w:pPr>
      <w:r>
        <w:separator/>
      </w:r>
    </w:p>
  </w:footnote>
  <w:footnote w:type="continuationSeparator" w:id="0">
    <w:p w:rsidR="001933AD" w:rsidRDefault="001933AD" w:rsidP="003A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220"/>
    <w:multiLevelType w:val="multilevel"/>
    <w:tmpl w:val="D326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A2FDC"/>
    <w:multiLevelType w:val="multilevel"/>
    <w:tmpl w:val="A7B8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10CD9"/>
    <w:multiLevelType w:val="hybridMultilevel"/>
    <w:tmpl w:val="13F2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95"/>
    <w:rsid w:val="000330C2"/>
    <w:rsid w:val="000B4F6A"/>
    <w:rsid w:val="001064D8"/>
    <w:rsid w:val="00145EDA"/>
    <w:rsid w:val="001933AD"/>
    <w:rsid w:val="001A50C7"/>
    <w:rsid w:val="00233A02"/>
    <w:rsid w:val="00291C68"/>
    <w:rsid w:val="003152B7"/>
    <w:rsid w:val="00363853"/>
    <w:rsid w:val="003641A5"/>
    <w:rsid w:val="00364D0D"/>
    <w:rsid w:val="00376546"/>
    <w:rsid w:val="003A268F"/>
    <w:rsid w:val="003C6825"/>
    <w:rsid w:val="003D0242"/>
    <w:rsid w:val="00454873"/>
    <w:rsid w:val="004918FA"/>
    <w:rsid w:val="004A040E"/>
    <w:rsid w:val="00557077"/>
    <w:rsid w:val="0063268F"/>
    <w:rsid w:val="00642E92"/>
    <w:rsid w:val="006436D4"/>
    <w:rsid w:val="00670A40"/>
    <w:rsid w:val="006E07F4"/>
    <w:rsid w:val="006E23C3"/>
    <w:rsid w:val="006E75D0"/>
    <w:rsid w:val="00727ED2"/>
    <w:rsid w:val="0078062D"/>
    <w:rsid w:val="008900CC"/>
    <w:rsid w:val="008F0CB3"/>
    <w:rsid w:val="009122F4"/>
    <w:rsid w:val="00986AEA"/>
    <w:rsid w:val="009A7AEA"/>
    <w:rsid w:val="009B3FA6"/>
    <w:rsid w:val="009D683C"/>
    <w:rsid w:val="00A27675"/>
    <w:rsid w:val="00A47F7E"/>
    <w:rsid w:val="00A70195"/>
    <w:rsid w:val="00A81CB9"/>
    <w:rsid w:val="00B55468"/>
    <w:rsid w:val="00BD44FC"/>
    <w:rsid w:val="00C03DFD"/>
    <w:rsid w:val="00C60C1C"/>
    <w:rsid w:val="00CB0A9A"/>
    <w:rsid w:val="00CC4B1E"/>
    <w:rsid w:val="00CF5528"/>
    <w:rsid w:val="00DB1E89"/>
    <w:rsid w:val="00DB4E55"/>
    <w:rsid w:val="00E32802"/>
    <w:rsid w:val="00E467E7"/>
    <w:rsid w:val="00E51C86"/>
    <w:rsid w:val="00E821A2"/>
    <w:rsid w:val="00EC2010"/>
    <w:rsid w:val="00F14E8C"/>
    <w:rsid w:val="00F16D27"/>
    <w:rsid w:val="00FB08BA"/>
    <w:rsid w:val="00FD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3"/>
  </w:style>
  <w:style w:type="paragraph" w:styleId="1">
    <w:name w:val="heading 1"/>
    <w:basedOn w:val="a"/>
    <w:link w:val="10"/>
    <w:uiPriority w:val="9"/>
    <w:qFormat/>
    <w:rsid w:val="00A7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A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68F"/>
  </w:style>
  <w:style w:type="paragraph" w:styleId="a6">
    <w:name w:val="footer"/>
    <w:basedOn w:val="a"/>
    <w:link w:val="a7"/>
    <w:uiPriority w:val="99"/>
    <w:semiHidden/>
    <w:unhideWhenUsed/>
    <w:rsid w:val="003A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68F"/>
  </w:style>
  <w:style w:type="paragraph" w:styleId="a8">
    <w:name w:val="List Paragraph"/>
    <w:basedOn w:val="a"/>
    <w:uiPriority w:val="34"/>
    <w:qFormat/>
    <w:rsid w:val="00DB1E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3F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B3FA6"/>
    <w:rPr>
      <w:b/>
      <w:bCs/>
    </w:rPr>
  </w:style>
  <w:style w:type="character" w:styleId="aa">
    <w:name w:val="Hyperlink"/>
    <w:basedOn w:val="a0"/>
    <w:uiPriority w:val="99"/>
    <w:semiHidden/>
    <w:unhideWhenUsed/>
    <w:rsid w:val="00642E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E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C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5BC7-CD0B-445E-8B6A-F130558D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Мария_Дизайнер</cp:lastModifiedBy>
  <cp:revision>23</cp:revision>
  <cp:lastPrinted>2015-10-26T12:11:00Z</cp:lastPrinted>
  <dcterms:created xsi:type="dcterms:W3CDTF">2015-10-27T08:02:00Z</dcterms:created>
  <dcterms:modified xsi:type="dcterms:W3CDTF">2018-11-07T07:47:00Z</dcterms:modified>
</cp:coreProperties>
</file>